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B225" w14:textId="77777777" w:rsidR="005138FE" w:rsidRDefault="00B9777D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Projektas  „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Litvakų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literatūra – teatro scenoje“</w:t>
      </w:r>
    </w:p>
    <w:p w14:paraId="685B041D" w14:textId="77777777" w:rsidR="005138FE" w:rsidRPr="00F22619" w:rsidRDefault="00B9777D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22619">
        <w:rPr>
          <w:rFonts w:asciiTheme="minorHAnsi" w:hAnsiTheme="minorHAnsi" w:cstheme="minorHAnsi"/>
          <w:b/>
          <w:bCs/>
          <w:sz w:val="26"/>
          <w:szCs w:val="26"/>
        </w:rPr>
        <w:t xml:space="preserve"> 2024 m.</w:t>
      </w:r>
    </w:p>
    <w:p w14:paraId="06B9C21A" w14:textId="77777777" w:rsidR="005138FE" w:rsidRDefault="005138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812B3" w14:textId="77777777" w:rsidR="005138FE" w:rsidRDefault="00B977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NUOSTATAI</w:t>
      </w:r>
    </w:p>
    <w:p w14:paraId="10D219CC" w14:textId="77777777" w:rsidR="005138FE" w:rsidRDefault="005138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4667F" w14:textId="77777777" w:rsidR="005138FE" w:rsidRDefault="005138F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04D0999" w14:textId="77777777" w:rsidR="005138FE" w:rsidRPr="00403170" w:rsidRDefault="00B977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6"/>
          <w:szCs w:val="26"/>
        </w:rPr>
      </w:pPr>
      <w:r w:rsidRPr="00403170">
        <w:rPr>
          <w:rFonts w:asciiTheme="minorHAnsi" w:hAnsiTheme="minorHAnsi" w:cstheme="minorHAnsi"/>
          <w:b/>
          <w:bCs/>
          <w:sz w:val="26"/>
          <w:szCs w:val="26"/>
        </w:rPr>
        <w:t>Bendrosios nuostatos</w:t>
      </w:r>
    </w:p>
    <w:p w14:paraId="06762F44" w14:textId="77777777" w:rsidR="005138FE" w:rsidRPr="00403170" w:rsidRDefault="005138FE">
      <w:pPr>
        <w:ind w:left="1800"/>
        <w:rPr>
          <w:rFonts w:asciiTheme="minorHAnsi" w:hAnsiTheme="minorHAnsi" w:cstheme="minorHAnsi"/>
          <w:b/>
          <w:bCs/>
          <w:sz w:val="26"/>
          <w:szCs w:val="26"/>
        </w:rPr>
      </w:pPr>
    </w:p>
    <w:p w14:paraId="7F0000C4" w14:textId="77777777" w:rsidR="005138FE" w:rsidRPr="00403170" w:rsidRDefault="00B977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         Projektas skirtas gilesnei pažinčiai su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litvakų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(Lietuvos žydų)  literatūra, pristatančia Lietuvos žydų bendruomenės istoriją, religiją ir tradicijas, gyvenimo būdą, žymius Lietuvos žydų bendruomenės atstovus.  Projektu siekiama paskatinti susipažinti, skaityti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litvakų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kūrybą (grožinę ar publicistinę) ir perteikti kūrinius scenoje pasitelkiant tokias menines priemones kaip: šokis, vaidyba, šešėlių teatras, dainavimas, muzikavimas, scenos kalba, scenos judesys. Sukurtos inscenizacijos, etiudai, meninės kompozicijos ar trumpos apimties spektakliai būtų pr</w:t>
      </w:r>
      <w:r w:rsidRPr="00403170">
        <w:rPr>
          <w:rFonts w:asciiTheme="minorHAnsi" w:hAnsiTheme="minorHAnsi" w:cstheme="minorHAnsi"/>
          <w:sz w:val="26"/>
          <w:szCs w:val="26"/>
        </w:rPr>
        <w:t xml:space="preserve">istatomi vietos bendruomenei. O </w:t>
      </w:r>
      <w:proofErr w:type="spellStart"/>
      <w:r w:rsidRPr="00403170">
        <w:rPr>
          <w:rFonts w:asciiTheme="minorHAnsi" w:hAnsiTheme="minorHAnsi" w:cstheme="minorHAnsi"/>
          <w:sz w:val="26"/>
          <w:szCs w:val="26"/>
          <w:u w:val="single"/>
        </w:rPr>
        <w:t>meniškiausias</w:t>
      </w:r>
      <w:proofErr w:type="spellEnd"/>
      <w:r w:rsidRPr="00403170">
        <w:rPr>
          <w:rFonts w:asciiTheme="minorHAnsi" w:hAnsiTheme="minorHAnsi" w:cstheme="minorHAnsi"/>
          <w:sz w:val="26"/>
          <w:szCs w:val="26"/>
          <w:u w:val="single"/>
        </w:rPr>
        <w:t xml:space="preserve"> ir informatyviausias</w:t>
      </w:r>
      <w:r w:rsidRPr="00403170">
        <w:rPr>
          <w:rFonts w:asciiTheme="minorHAnsi" w:hAnsiTheme="minorHAnsi" w:cstheme="minorHAnsi"/>
          <w:sz w:val="26"/>
          <w:szCs w:val="26"/>
        </w:rPr>
        <w:t xml:space="preserve"> sukurtas inscenizacijas organizatoriai pakvies pristatyti baigiamajame renginyje Baisogalos Kultūros centre </w:t>
      </w:r>
      <w:r w:rsidRPr="00C8367B">
        <w:rPr>
          <w:rFonts w:asciiTheme="minorHAnsi" w:hAnsiTheme="minorHAnsi" w:cstheme="minorHAnsi"/>
          <w:sz w:val="26"/>
          <w:szCs w:val="26"/>
          <w:u w:val="single"/>
        </w:rPr>
        <w:t>2024 m. lapkričio mėnesį.</w:t>
      </w:r>
      <w:r w:rsidRPr="00403170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E2A60D4" w14:textId="77777777" w:rsidR="005138FE" w:rsidRPr="00403170" w:rsidRDefault="005138FE">
      <w:pPr>
        <w:shd w:val="clear" w:color="auto" w:fill="FFFFFF"/>
        <w:jc w:val="both"/>
        <w:rPr>
          <w:rFonts w:asciiTheme="minorHAnsi" w:hAnsiTheme="minorHAnsi" w:cstheme="minorHAnsi"/>
          <w:sz w:val="26"/>
          <w:szCs w:val="26"/>
        </w:rPr>
      </w:pPr>
    </w:p>
    <w:p w14:paraId="7AD18824" w14:textId="77777777" w:rsidR="005138FE" w:rsidRPr="00403170" w:rsidRDefault="005138FE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5360D931" w14:textId="77777777" w:rsidR="005138FE" w:rsidRPr="00403170" w:rsidRDefault="00B977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6"/>
          <w:szCs w:val="26"/>
        </w:rPr>
      </w:pPr>
      <w:r w:rsidRPr="00403170">
        <w:rPr>
          <w:rFonts w:asciiTheme="minorHAnsi" w:hAnsiTheme="minorHAnsi" w:cstheme="minorHAnsi"/>
          <w:b/>
          <w:bCs/>
          <w:sz w:val="26"/>
          <w:szCs w:val="26"/>
        </w:rPr>
        <w:t>Tikslai ir uždaviniai</w:t>
      </w:r>
    </w:p>
    <w:p w14:paraId="4579206A" w14:textId="77777777" w:rsidR="005138FE" w:rsidRPr="00403170" w:rsidRDefault="005138F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2DD66C3" w14:textId="77777777" w:rsidR="005138FE" w:rsidRPr="00C8367B" w:rsidRDefault="00B9777D">
      <w:pPr>
        <w:tabs>
          <w:tab w:val="left" w:pos="2016"/>
        </w:tabs>
        <w:spacing w:after="200" w:line="360" w:lineRule="auto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C8367B">
        <w:rPr>
          <w:rFonts w:asciiTheme="minorHAnsi" w:hAnsiTheme="minorHAnsi" w:cstheme="minorHAnsi"/>
          <w:i/>
          <w:iCs/>
          <w:sz w:val="26"/>
          <w:szCs w:val="26"/>
        </w:rPr>
        <w:t>Projekto tikslai:</w:t>
      </w:r>
    </w:p>
    <w:p w14:paraId="12BC2208" w14:textId="77777777" w:rsidR="005138FE" w:rsidRPr="00403170" w:rsidRDefault="00B9777D">
      <w:pPr>
        <w:numPr>
          <w:ilvl w:val="0"/>
          <w:numId w:val="2"/>
        </w:numPr>
        <w:shd w:val="clear" w:color="auto" w:fill="FFFFFF"/>
        <w:suppressAutoHyphens/>
        <w:spacing w:line="36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403170">
        <w:rPr>
          <w:rFonts w:asciiTheme="minorHAnsi" w:hAnsiTheme="minorHAnsi" w:cstheme="minorHAnsi"/>
          <w:iCs/>
          <w:sz w:val="26"/>
          <w:szCs w:val="26"/>
        </w:rPr>
        <w:t xml:space="preserve">Įtraukti mokytojus ir mokinius į </w:t>
      </w:r>
      <w:proofErr w:type="spellStart"/>
      <w:r w:rsidRPr="00403170">
        <w:rPr>
          <w:rFonts w:asciiTheme="minorHAnsi" w:hAnsiTheme="minorHAnsi" w:cstheme="minorHAnsi"/>
          <w:iCs/>
          <w:sz w:val="26"/>
          <w:szCs w:val="26"/>
        </w:rPr>
        <w:t>litvakų</w:t>
      </w:r>
      <w:proofErr w:type="spellEnd"/>
      <w:r w:rsidRPr="00403170">
        <w:rPr>
          <w:rFonts w:asciiTheme="minorHAnsi" w:hAnsiTheme="minorHAnsi" w:cstheme="minorHAnsi"/>
          <w:iCs/>
          <w:sz w:val="26"/>
          <w:szCs w:val="26"/>
        </w:rPr>
        <w:t xml:space="preserve"> sukurtų kūrinių skaitymą ir analizavimą  (kūrinių, kurie nėra mokyklos programoje kaip privalomi kūriniai);</w:t>
      </w:r>
    </w:p>
    <w:p w14:paraId="5672428E" w14:textId="77777777" w:rsidR="005138FE" w:rsidRPr="00403170" w:rsidRDefault="00B9777D">
      <w:pPr>
        <w:numPr>
          <w:ilvl w:val="0"/>
          <w:numId w:val="2"/>
        </w:numPr>
        <w:shd w:val="clear" w:color="auto" w:fill="FFFFFF"/>
        <w:suppressAutoHyphens/>
        <w:spacing w:line="36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403170">
        <w:rPr>
          <w:rFonts w:asciiTheme="minorHAnsi" w:hAnsiTheme="minorHAnsi" w:cstheme="minorHAnsi"/>
          <w:iCs/>
          <w:sz w:val="26"/>
          <w:szCs w:val="26"/>
        </w:rPr>
        <w:t xml:space="preserve">Skatinti, jog vyktų mokyklų bendruomenėse diskusijos apie Lietuvos žydų kūrybą (grožinę literatūrą ar publicistiką), siekiant įtraukti Lietuvos žydų bendruomenės narių dalyvavimą tokiuose susitikimuose ir diskusijose su mokiniais ir mokytojais; </w:t>
      </w:r>
    </w:p>
    <w:p w14:paraId="78701D85" w14:textId="77777777" w:rsidR="005138FE" w:rsidRPr="00403170" w:rsidRDefault="00B9777D">
      <w:pPr>
        <w:numPr>
          <w:ilvl w:val="0"/>
          <w:numId w:val="2"/>
        </w:numPr>
        <w:shd w:val="clear" w:color="auto" w:fill="FFFFFF"/>
        <w:suppressAutoHyphens/>
        <w:spacing w:line="360" w:lineRule="auto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403170">
        <w:rPr>
          <w:rFonts w:asciiTheme="minorHAnsi" w:hAnsiTheme="minorHAnsi" w:cstheme="minorHAnsi"/>
          <w:iCs/>
          <w:sz w:val="26"/>
          <w:szCs w:val="26"/>
        </w:rPr>
        <w:t xml:space="preserve">Ugdyti gilesnę pažintį su </w:t>
      </w:r>
      <w:proofErr w:type="spellStart"/>
      <w:r w:rsidRPr="00403170">
        <w:rPr>
          <w:rFonts w:asciiTheme="minorHAnsi" w:hAnsiTheme="minorHAnsi" w:cstheme="minorHAnsi"/>
          <w:iCs/>
          <w:sz w:val="26"/>
          <w:szCs w:val="26"/>
        </w:rPr>
        <w:t>litvakų</w:t>
      </w:r>
      <w:proofErr w:type="spellEnd"/>
      <w:r w:rsidRPr="00403170">
        <w:rPr>
          <w:rFonts w:asciiTheme="minorHAnsi" w:hAnsiTheme="minorHAnsi" w:cstheme="minorHAnsi"/>
          <w:iCs/>
          <w:sz w:val="26"/>
          <w:szCs w:val="26"/>
        </w:rPr>
        <w:t xml:space="preserve"> literatūra, ugdančia suvokimą apie tautinius skirtumus, laužančia stereotipus ir pristatančia unikalumą, kurį turi kiekviena tauta.</w:t>
      </w:r>
    </w:p>
    <w:p w14:paraId="002972A7" w14:textId="77777777" w:rsidR="005138FE" w:rsidRPr="00403170" w:rsidRDefault="005138FE">
      <w:pPr>
        <w:tabs>
          <w:tab w:val="left" w:pos="2016"/>
        </w:tabs>
        <w:spacing w:after="200"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120238B" w14:textId="77777777" w:rsidR="005138FE" w:rsidRPr="00C8367B" w:rsidRDefault="00B977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C8367B">
        <w:rPr>
          <w:rFonts w:asciiTheme="minorHAnsi" w:hAnsiTheme="minorHAnsi" w:cstheme="minorHAnsi"/>
          <w:i/>
          <w:iCs/>
          <w:sz w:val="26"/>
          <w:szCs w:val="26"/>
        </w:rPr>
        <w:lastRenderedPageBreak/>
        <w:t>Projekto uždaviniai:</w:t>
      </w:r>
    </w:p>
    <w:p w14:paraId="59007226" w14:textId="77777777" w:rsidR="005138FE" w:rsidRPr="00403170" w:rsidRDefault="005138F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0127FE31" w14:textId="5AB439F3" w:rsidR="005138FE" w:rsidRPr="00403170" w:rsidRDefault="00B9777D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Paskatinti </w:t>
      </w:r>
      <w:r w:rsidR="001E2671">
        <w:rPr>
          <w:rFonts w:asciiTheme="minorHAnsi" w:hAnsiTheme="minorHAnsi" w:cstheme="minorHAnsi"/>
          <w:sz w:val="26"/>
          <w:szCs w:val="26"/>
        </w:rPr>
        <w:t xml:space="preserve">mokyklų </w:t>
      </w:r>
      <w:r w:rsidRPr="00403170">
        <w:rPr>
          <w:rFonts w:asciiTheme="minorHAnsi" w:hAnsiTheme="minorHAnsi" w:cstheme="minorHAnsi"/>
          <w:sz w:val="26"/>
          <w:szCs w:val="26"/>
        </w:rPr>
        <w:t xml:space="preserve">bendruomenes kurti trumpos apimties spektaklius, menines kompozicijas, etiudus, inscenizacijas (10 – 20 min.), panaudojant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litvakų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kūrinius. </w:t>
      </w:r>
    </w:p>
    <w:p w14:paraId="764F3DDE" w14:textId="693213D2" w:rsidR="005138FE" w:rsidRDefault="00B9777D">
      <w:pPr>
        <w:numPr>
          <w:ilvl w:val="0"/>
          <w:numId w:val="3"/>
        </w:numPr>
        <w:shd w:val="clear" w:color="auto" w:fill="FFFFFF"/>
        <w:suppressAutoHyphens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Suorganizuoti baigiamąjį projekto renginį Baisogalos Kultūros centre, kuriame informatyviausi ir kūrybiškai įdomiausi mini spektakliai būtų pristatyti </w:t>
      </w:r>
      <w:r w:rsidR="001E2671">
        <w:rPr>
          <w:rFonts w:asciiTheme="minorHAnsi" w:hAnsiTheme="minorHAnsi" w:cstheme="minorHAnsi"/>
          <w:sz w:val="26"/>
          <w:szCs w:val="26"/>
        </w:rPr>
        <w:t xml:space="preserve"> mokyklų atstovams, </w:t>
      </w:r>
      <w:r w:rsidRPr="00403170">
        <w:rPr>
          <w:rFonts w:asciiTheme="minorHAnsi" w:hAnsiTheme="minorHAnsi" w:cstheme="minorHAnsi"/>
          <w:sz w:val="26"/>
          <w:szCs w:val="26"/>
        </w:rPr>
        <w:t>Tolerancijos ugdymo centrų bendruomenėms bei Lietuvos žydų bendruomenės nariams.</w:t>
      </w:r>
    </w:p>
    <w:p w14:paraId="13F96A1C" w14:textId="77777777" w:rsidR="00403170" w:rsidRPr="00403170" w:rsidRDefault="00403170" w:rsidP="00403170">
      <w:pPr>
        <w:shd w:val="clear" w:color="auto" w:fill="FFFFFF"/>
        <w:suppressAutoHyphens/>
        <w:spacing w:line="360" w:lineRule="auto"/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14:paraId="590563F6" w14:textId="77777777" w:rsidR="005138FE" w:rsidRPr="00403170" w:rsidRDefault="00B977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b/>
          <w:sz w:val="26"/>
          <w:szCs w:val="26"/>
        </w:rPr>
        <w:t>Projekto organizavimo tvarka</w:t>
      </w:r>
    </w:p>
    <w:p w14:paraId="3ED8B28D" w14:textId="77777777" w:rsidR="005138FE" w:rsidRPr="00403170" w:rsidRDefault="005138FE">
      <w:pPr>
        <w:ind w:left="360"/>
        <w:jc w:val="both"/>
        <w:rPr>
          <w:rFonts w:asciiTheme="minorHAnsi" w:hAnsiTheme="minorHAnsi" w:cstheme="minorHAnsi"/>
          <w:sz w:val="26"/>
          <w:szCs w:val="26"/>
        </w:rPr>
      </w:pPr>
    </w:p>
    <w:p w14:paraId="1A46B16D" w14:textId="5766550A" w:rsidR="005138FE" w:rsidRPr="00403170" w:rsidRDefault="00B977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Projekto organizatoriai mokykloms pateikia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litvakų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autorių kūrinių sąrašą. </w:t>
      </w:r>
    </w:p>
    <w:p w14:paraId="25117326" w14:textId="70F664F7" w:rsidR="005138FE" w:rsidRPr="00403170" w:rsidRDefault="00B977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>Mokytojas / režisierius pasirinktą kūrinį pristato mokiniams. Mokiniai pasirinktą kūrinį perskaito ir kartu su mokytoju / režisieriumi jį išsianalizuoja (pagrindinė mintis / idėja, tinkamumas vaidybiniam siužetui ir t.t.).</w:t>
      </w:r>
    </w:p>
    <w:p w14:paraId="297B3666" w14:textId="77777777" w:rsidR="005138FE" w:rsidRPr="00403170" w:rsidRDefault="00B977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Mokyklos bendruomenė (tikslinė grupė) kuria meninę inscenizaciją / mini spektaklį. </w:t>
      </w:r>
    </w:p>
    <w:p w14:paraId="76E2A65E" w14:textId="77777777" w:rsidR="005138FE" w:rsidRPr="00403170" w:rsidRDefault="00B977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Mokykloje sukurtas trumpos apimties spektaklis pristatomas vietos bendruomenei bei nufilmuojamas ir projekto organizatoriams atsiunčiamas nufilmuotas siužetas su aprašymu. </w:t>
      </w:r>
    </w:p>
    <w:p w14:paraId="701550A4" w14:textId="77777777" w:rsidR="005138FE" w:rsidRPr="00403170" w:rsidRDefault="00B977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Organizatoriai peržiūri atsiųstą filmuotą medžiagą, susipažįsta su siužeto aprašymu ir atrenka 8 – 10 geriausiai paruoštų meninių inscenizacijų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litvakų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kūrybos motyvais. Atrinkti įdomiausiai paruošti mini spektakliai bus pakviesti pristatyti savo kūrybą baigiamajame renginyje Baisogalos Kultūros centre, 2024 m. lapkričio mėn.  </w:t>
      </w:r>
    </w:p>
    <w:p w14:paraId="7CC3A460" w14:textId="77777777" w:rsidR="005138FE" w:rsidRPr="00403170" w:rsidRDefault="00B977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Į baigiamąjį renginį  bus kviečiami visi projekto dalyviai (vieni kaip dalyviai, kiti kaip svečiai). </w:t>
      </w:r>
    </w:p>
    <w:p w14:paraId="7886005E" w14:textId="77777777" w:rsidR="005138FE" w:rsidRPr="00403170" w:rsidRDefault="00B9777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 Visi projekte dalyvavę (mokytojai ir mokiniai) bus apdovanojami diplomais ir atminimo dovanėlėmis. </w:t>
      </w:r>
    </w:p>
    <w:p w14:paraId="47C8FBFA" w14:textId="77777777" w:rsidR="005138FE" w:rsidRPr="00403170" w:rsidRDefault="005138FE">
      <w:pPr>
        <w:ind w:left="360"/>
        <w:rPr>
          <w:rFonts w:asciiTheme="minorHAnsi" w:hAnsiTheme="minorHAnsi" w:cstheme="minorHAnsi"/>
          <w:b/>
          <w:sz w:val="26"/>
          <w:szCs w:val="26"/>
        </w:rPr>
      </w:pPr>
    </w:p>
    <w:p w14:paraId="768ED1E4" w14:textId="77777777" w:rsidR="005138FE" w:rsidRPr="00403170" w:rsidRDefault="00B977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b/>
          <w:sz w:val="26"/>
          <w:szCs w:val="26"/>
        </w:rPr>
        <w:lastRenderedPageBreak/>
        <w:t>Reglamentas dėl mini spektaklių, meninių inscenizacijų:</w:t>
      </w:r>
    </w:p>
    <w:p w14:paraId="60171DE0" w14:textId="77777777" w:rsidR="005138FE" w:rsidRPr="00403170" w:rsidRDefault="005138FE">
      <w:pPr>
        <w:pStyle w:val="ListParagraph"/>
        <w:spacing w:line="360" w:lineRule="auto"/>
        <w:ind w:left="1800"/>
        <w:rPr>
          <w:rFonts w:asciiTheme="minorHAnsi" w:hAnsiTheme="minorHAnsi" w:cstheme="minorHAnsi"/>
          <w:b/>
          <w:sz w:val="26"/>
          <w:szCs w:val="26"/>
        </w:rPr>
      </w:pPr>
    </w:p>
    <w:p w14:paraId="71E1F290" w14:textId="77777777" w:rsidR="005138FE" w:rsidRPr="00403170" w:rsidRDefault="00B9777D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>Meninė inscenizacija turi būti lietuvių kalba (gali būti be žodžių);</w:t>
      </w:r>
    </w:p>
    <w:p w14:paraId="04237680" w14:textId="77777777" w:rsidR="005138FE" w:rsidRPr="00403170" w:rsidRDefault="00B9777D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Trukmė: iki 20 min. </w:t>
      </w:r>
    </w:p>
    <w:p w14:paraId="5F85CD76" w14:textId="77777777" w:rsidR="005138FE" w:rsidRPr="00403170" w:rsidRDefault="00B9777D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>Meninę inscenizaciją atliekančių dalyvių skaičius neribojamas;</w:t>
      </w:r>
    </w:p>
    <w:p w14:paraId="2B281437" w14:textId="77777777" w:rsidR="005138FE" w:rsidRPr="00403170" w:rsidRDefault="005138FE">
      <w:pPr>
        <w:rPr>
          <w:rFonts w:asciiTheme="minorHAnsi" w:hAnsiTheme="minorHAnsi" w:cstheme="minorHAnsi"/>
          <w:sz w:val="26"/>
          <w:szCs w:val="26"/>
        </w:rPr>
      </w:pPr>
    </w:p>
    <w:p w14:paraId="3B9C4E7C" w14:textId="77777777" w:rsidR="005138FE" w:rsidRPr="00403170" w:rsidRDefault="005138F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67BAFFA" w14:textId="77777777" w:rsidR="005138FE" w:rsidRPr="00403170" w:rsidRDefault="00B9777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403170">
        <w:rPr>
          <w:rFonts w:asciiTheme="minorHAnsi" w:hAnsiTheme="minorHAnsi" w:cstheme="minorHAnsi"/>
          <w:b/>
          <w:bCs/>
          <w:sz w:val="26"/>
          <w:szCs w:val="26"/>
        </w:rPr>
        <w:t xml:space="preserve">Projekto </w:t>
      </w:r>
      <w:r w:rsidRPr="00403170">
        <w:rPr>
          <w:rFonts w:asciiTheme="minorHAnsi" w:hAnsiTheme="minorHAnsi" w:cstheme="minorHAnsi"/>
          <w:b/>
          <w:bCs/>
          <w:sz w:val="26"/>
          <w:szCs w:val="26"/>
        </w:rPr>
        <w:t>organizavimo tvarka:</w:t>
      </w:r>
    </w:p>
    <w:p w14:paraId="021B0E39" w14:textId="77777777" w:rsidR="005138FE" w:rsidRPr="00403170" w:rsidRDefault="005138FE">
      <w:pPr>
        <w:pStyle w:val="ListParagraph"/>
        <w:ind w:left="1800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62FD52AF" w14:textId="4315DB79" w:rsidR="005138FE" w:rsidRPr="00403170" w:rsidRDefault="00B977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Mokytojai, susipažinę su projekto idėja ir norintys dalyvauti projekte, registruojasi el. pašto adresu: </w:t>
      </w:r>
      <w:hyperlink r:id="rId7" w:history="1">
        <w:r w:rsidRPr="00403170">
          <w:rPr>
            <w:rStyle w:val="Hyperlink"/>
            <w:rFonts w:asciiTheme="minorHAnsi" w:hAnsiTheme="minorHAnsi" w:cstheme="minorHAnsi"/>
            <w:sz w:val="26"/>
            <w:szCs w:val="26"/>
          </w:rPr>
          <w:t>ingrida.vilkiene@lrv.lt</w:t>
        </w:r>
      </w:hyperlink>
      <w:r w:rsidRPr="00403170">
        <w:rPr>
          <w:rFonts w:asciiTheme="minorHAnsi" w:hAnsiTheme="minorHAnsi" w:cstheme="minorHAnsi"/>
          <w:sz w:val="26"/>
          <w:szCs w:val="26"/>
        </w:rPr>
        <w:t xml:space="preserve">    (iki gegužės 15 d.);</w:t>
      </w:r>
    </w:p>
    <w:p w14:paraId="2B59E356" w14:textId="739C3E5C" w:rsidR="005138FE" w:rsidRPr="00403170" w:rsidRDefault="00B977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Projekto dalyviai susipažįsta su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litvakų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kūryba (kūriniu / -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iais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) ir kuria </w:t>
      </w:r>
      <w:r w:rsidR="001E2671">
        <w:rPr>
          <w:rFonts w:asciiTheme="minorHAnsi" w:hAnsiTheme="minorHAnsi" w:cstheme="minorHAnsi"/>
          <w:sz w:val="26"/>
          <w:szCs w:val="26"/>
        </w:rPr>
        <w:t>nedidelius (</w:t>
      </w:r>
      <w:r w:rsidRPr="00403170">
        <w:rPr>
          <w:rFonts w:asciiTheme="minorHAnsi" w:hAnsiTheme="minorHAnsi" w:cstheme="minorHAnsi"/>
          <w:sz w:val="26"/>
          <w:szCs w:val="26"/>
        </w:rPr>
        <w:t>mini</w:t>
      </w:r>
      <w:r w:rsidR="001E2671">
        <w:rPr>
          <w:rFonts w:asciiTheme="minorHAnsi" w:hAnsiTheme="minorHAnsi" w:cstheme="minorHAnsi"/>
          <w:sz w:val="26"/>
          <w:szCs w:val="26"/>
        </w:rPr>
        <w:t xml:space="preserve">) </w:t>
      </w:r>
      <w:r w:rsidRPr="00403170">
        <w:rPr>
          <w:rFonts w:asciiTheme="minorHAnsi" w:hAnsiTheme="minorHAnsi" w:cstheme="minorHAnsi"/>
          <w:sz w:val="26"/>
          <w:szCs w:val="26"/>
        </w:rPr>
        <w:t>spektaklius, menines inscenizacijas (gegužės, birželio, rugsėjo mėnesiais);</w:t>
      </w:r>
    </w:p>
    <w:p w14:paraId="327329F8" w14:textId="77777777" w:rsidR="005138FE" w:rsidRPr="00403170" w:rsidRDefault="00B977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Projekto dalyviai (mokyklų bendruomenės) organizuoja savo kūrybos pristatymus vietos bendruomenėms rugsėjo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pab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>. – spalio pr. (apie organizuojamus pristatymus informuoja ir projekto organizatorius);</w:t>
      </w:r>
    </w:p>
    <w:p w14:paraId="071DCCC3" w14:textId="1D774C45" w:rsidR="005138FE" w:rsidRPr="00403170" w:rsidRDefault="00B977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Iki spalio 10 d. atsiunčia projekto organizatoriams (Erikai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Liukienei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>, Baisogalos kultūros centras</w:t>
      </w:r>
      <w:r w:rsidR="00403170" w:rsidRPr="00403170">
        <w:rPr>
          <w:rFonts w:asciiTheme="minorHAnsi" w:hAnsiTheme="minorHAnsi" w:cstheme="minorHAnsi"/>
          <w:sz w:val="26"/>
          <w:szCs w:val="26"/>
        </w:rPr>
        <w:t xml:space="preserve"> ir Ingridai Vilkienei, Tarptautinės komisijos sekretoriatas</w:t>
      </w:r>
      <w:r w:rsidRPr="00403170">
        <w:rPr>
          <w:rFonts w:asciiTheme="minorHAnsi" w:hAnsiTheme="minorHAnsi" w:cstheme="minorHAnsi"/>
          <w:sz w:val="26"/>
          <w:szCs w:val="26"/>
        </w:rPr>
        <w:t xml:space="preserve">: </w:t>
      </w:r>
      <w:hyperlink r:id="rId8" w:history="1">
        <w:r w:rsidRPr="00403170">
          <w:rPr>
            <w:rStyle w:val="Hyperlink"/>
            <w:rFonts w:asciiTheme="minorHAnsi" w:hAnsiTheme="minorHAnsi" w:cstheme="minorHAnsi"/>
            <w:sz w:val="26"/>
            <w:szCs w:val="26"/>
          </w:rPr>
          <w:t>bkc.liukiene@gmail.com</w:t>
        </w:r>
      </w:hyperlink>
      <w:r w:rsidRPr="00403170">
        <w:rPr>
          <w:rStyle w:val="Hyperlink"/>
          <w:rFonts w:asciiTheme="minorHAnsi" w:hAnsiTheme="minorHAnsi" w:cstheme="minorHAnsi"/>
          <w:sz w:val="26"/>
          <w:szCs w:val="26"/>
        </w:rPr>
        <w:t xml:space="preserve">, </w:t>
      </w:r>
      <w:hyperlink r:id="rId9" w:history="1">
        <w:r w:rsidR="00403170" w:rsidRPr="00403170">
          <w:rPr>
            <w:rStyle w:val="Hyperlink"/>
            <w:rFonts w:asciiTheme="minorHAnsi" w:hAnsiTheme="minorHAnsi" w:cstheme="minorHAnsi"/>
            <w:sz w:val="26"/>
            <w:szCs w:val="26"/>
          </w:rPr>
          <w:t>istorinekomisija@gmail.com</w:t>
        </w:r>
      </w:hyperlink>
      <w:r w:rsidR="00403170" w:rsidRPr="00403170">
        <w:rPr>
          <w:rStyle w:val="Hyperlink"/>
          <w:rFonts w:asciiTheme="minorHAnsi" w:hAnsiTheme="minorHAnsi" w:cstheme="minorHAnsi"/>
          <w:sz w:val="26"/>
          <w:szCs w:val="26"/>
        </w:rPr>
        <w:t xml:space="preserve">; </w:t>
      </w:r>
      <w:r w:rsidRPr="00403170">
        <w:rPr>
          <w:rFonts w:asciiTheme="minorHAnsi" w:hAnsiTheme="minorHAnsi" w:cstheme="minorHAnsi"/>
          <w:sz w:val="26"/>
          <w:szCs w:val="26"/>
        </w:rPr>
        <w:t xml:space="preserve"> nufilmuotą sukurtą meninę inscenizaciją ir trumpą siužeto aprašymą. Atsiųstus meninius darbus vertina 3 </w:t>
      </w:r>
      <w:r w:rsidR="001E2671">
        <w:rPr>
          <w:rFonts w:asciiTheme="minorHAnsi" w:hAnsiTheme="minorHAnsi" w:cstheme="minorHAnsi"/>
          <w:sz w:val="26"/>
          <w:szCs w:val="26"/>
        </w:rPr>
        <w:t xml:space="preserve">– 5 </w:t>
      </w:r>
      <w:r w:rsidRPr="00403170">
        <w:rPr>
          <w:rFonts w:asciiTheme="minorHAnsi" w:hAnsiTheme="minorHAnsi" w:cstheme="minorHAnsi"/>
          <w:sz w:val="26"/>
          <w:szCs w:val="26"/>
        </w:rPr>
        <w:t>asmenų komisija</w:t>
      </w:r>
      <w:r w:rsidR="00403170" w:rsidRPr="00403170">
        <w:rPr>
          <w:rFonts w:asciiTheme="minorHAnsi" w:hAnsiTheme="minorHAnsi" w:cstheme="minorHAnsi"/>
          <w:sz w:val="26"/>
          <w:szCs w:val="26"/>
        </w:rPr>
        <w:t>.</w:t>
      </w:r>
    </w:p>
    <w:p w14:paraId="1D451B20" w14:textId="77777777" w:rsidR="005138FE" w:rsidRPr="00403170" w:rsidRDefault="00B977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proofErr w:type="spellStart"/>
      <w:r w:rsidRPr="00403170">
        <w:rPr>
          <w:rFonts w:asciiTheme="minorHAnsi" w:hAnsiTheme="minorHAnsi" w:cstheme="minorHAnsi"/>
          <w:sz w:val="26"/>
          <w:szCs w:val="26"/>
        </w:rPr>
        <w:t>Video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siužetai vertinami ir atrenkami pagal šiuos vertinimo kriterijus: siužeto trukmės atitikimas (ne daugiau 20 minučių), pasirinktos medžiagos turinio išpildymas, meninės priemonės pasirinkimas ir pritaikymas pasirinktai medžiagai, režisūrinių sprendimų kūrybiškumas/ originalumas.</w:t>
      </w:r>
    </w:p>
    <w:p w14:paraId="7F2E5CA2" w14:textId="77777777" w:rsidR="005138FE" w:rsidRPr="00403170" w:rsidRDefault="00B977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Iki spalio 25 d. organizatoriai peržiūri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video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siužetus ir informuoja visus projekto dalyvius apie atrinktus informatyviausius, įdomiausius siužetus, kurie bus pristatomi baigiamajame renginyje. </w:t>
      </w:r>
    </w:p>
    <w:p w14:paraId="30A4B407" w14:textId="77777777" w:rsidR="005138FE" w:rsidRPr="00403170" w:rsidRDefault="00B9777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Lapkričio pradžioje visi projekto dalyviai informuojami apie baigiamąjį renginį ir pakviečiami jame dalyvauti. </w:t>
      </w:r>
    </w:p>
    <w:p w14:paraId="399B5014" w14:textId="77777777" w:rsidR="005138FE" w:rsidRPr="00403170" w:rsidRDefault="005138FE">
      <w:pPr>
        <w:pStyle w:val="ListParagraph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165BD973" w14:textId="77777777" w:rsidR="005138FE" w:rsidRPr="00403170" w:rsidRDefault="00B9777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6"/>
          <w:szCs w:val="26"/>
        </w:rPr>
      </w:pPr>
      <w:r w:rsidRPr="00403170">
        <w:rPr>
          <w:rFonts w:asciiTheme="minorHAnsi" w:hAnsiTheme="minorHAnsi" w:cstheme="minorHAnsi"/>
          <w:b/>
          <w:bCs/>
          <w:sz w:val="26"/>
          <w:szCs w:val="26"/>
        </w:rPr>
        <w:t>Projekto organizatoriai</w:t>
      </w:r>
    </w:p>
    <w:p w14:paraId="5CB1BD82" w14:textId="77777777" w:rsidR="005138FE" w:rsidRPr="00403170" w:rsidRDefault="005138FE">
      <w:pPr>
        <w:ind w:left="1080"/>
        <w:rPr>
          <w:rFonts w:asciiTheme="minorHAnsi" w:hAnsiTheme="minorHAnsi" w:cstheme="minorHAnsi"/>
          <w:b/>
          <w:bCs/>
          <w:sz w:val="26"/>
          <w:szCs w:val="26"/>
        </w:rPr>
      </w:pPr>
    </w:p>
    <w:p w14:paraId="29C00EED" w14:textId="0CCFC302" w:rsidR="005138FE" w:rsidRPr="00403170" w:rsidRDefault="00B9777D">
      <w:pPr>
        <w:spacing w:line="360" w:lineRule="auto"/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>Tarptautinė</w:t>
      </w:r>
      <w:r w:rsidR="001E2671">
        <w:rPr>
          <w:rFonts w:asciiTheme="minorHAnsi" w:hAnsiTheme="minorHAnsi" w:cstheme="minorHAnsi"/>
          <w:sz w:val="26"/>
          <w:szCs w:val="26"/>
        </w:rPr>
        <w:t>s</w:t>
      </w:r>
      <w:r w:rsidRPr="00403170">
        <w:rPr>
          <w:rFonts w:asciiTheme="minorHAnsi" w:hAnsiTheme="minorHAnsi" w:cstheme="minorHAnsi"/>
          <w:sz w:val="26"/>
          <w:szCs w:val="26"/>
        </w:rPr>
        <w:t xml:space="preserve"> komisij</w:t>
      </w:r>
      <w:r w:rsidR="001E2671">
        <w:rPr>
          <w:rFonts w:asciiTheme="minorHAnsi" w:hAnsiTheme="minorHAnsi" w:cstheme="minorHAnsi"/>
          <w:sz w:val="26"/>
          <w:szCs w:val="26"/>
        </w:rPr>
        <w:t>os</w:t>
      </w:r>
      <w:r w:rsidRPr="00403170">
        <w:rPr>
          <w:rFonts w:asciiTheme="minorHAnsi" w:hAnsiTheme="minorHAnsi" w:cstheme="minorHAnsi"/>
          <w:sz w:val="26"/>
          <w:szCs w:val="26"/>
        </w:rPr>
        <w:t xml:space="preserve"> nacių ir sovietinio okupacinių režimų nusikaltimams Lietuvoje įvertinti sekretoriatas, Baisogalos Kultūros centro Tolerancijos ugdymo centras, Jakovo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Bunkos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labdaros ir paramos fondas,  su daline Geros valios fondo (GVF) parama. </w:t>
      </w:r>
    </w:p>
    <w:p w14:paraId="480966C0" w14:textId="77777777" w:rsidR="005138FE" w:rsidRPr="00403170" w:rsidRDefault="005138FE">
      <w:pPr>
        <w:spacing w:line="360" w:lineRule="auto"/>
        <w:ind w:left="360"/>
        <w:jc w:val="both"/>
        <w:rPr>
          <w:rFonts w:asciiTheme="minorHAnsi" w:hAnsiTheme="minorHAnsi" w:cstheme="minorHAnsi"/>
          <w:sz w:val="26"/>
          <w:szCs w:val="26"/>
        </w:rPr>
      </w:pPr>
    </w:p>
    <w:p w14:paraId="2BB7A69F" w14:textId="77777777" w:rsidR="005138FE" w:rsidRPr="00403170" w:rsidRDefault="00B977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403170">
        <w:rPr>
          <w:rFonts w:asciiTheme="minorHAnsi" w:hAnsiTheme="minorHAnsi" w:cstheme="minorHAnsi"/>
          <w:b/>
          <w:bCs/>
          <w:sz w:val="26"/>
          <w:szCs w:val="26"/>
        </w:rPr>
        <w:t xml:space="preserve">Pastaba: </w:t>
      </w:r>
    </w:p>
    <w:p w14:paraId="3F7FF78E" w14:textId="35339D22" w:rsidR="005138FE" w:rsidRPr="00403170" w:rsidRDefault="00B9777D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03170">
        <w:rPr>
          <w:rFonts w:asciiTheme="minorHAnsi" w:hAnsiTheme="minorHAnsi" w:cstheme="minorHAnsi"/>
          <w:sz w:val="26"/>
          <w:szCs w:val="26"/>
        </w:rPr>
        <w:t xml:space="preserve">Kartu su projekto nuostatais siunčiamas </w:t>
      </w:r>
      <w:proofErr w:type="spellStart"/>
      <w:r w:rsidRPr="00403170">
        <w:rPr>
          <w:rFonts w:asciiTheme="minorHAnsi" w:hAnsiTheme="minorHAnsi" w:cstheme="minorHAnsi"/>
          <w:sz w:val="26"/>
          <w:szCs w:val="26"/>
        </w:rPr>
        <w:t>litvakų</w:t>
      </w:r>
      <w:proofErr w:type="spellEnd"/>
      <w:r w:rsidRPr="00403170">
        <w:rPr>
          <w:rFonts w:asciiTheme="minorHAnsi" w:hAnsiTheme="minorHAnsi" w:cstheme="minorHAnsi"/>
          <w:sz w:val="26"/>
          <w:szCs w:val="26"/>
        </w:rPr>
        <w:t xml:space="preserve"> </w:t>
      </w:r>
      <w:r w:rsidR="001E2671">
        <w:rPr>
          <w:rFonts w:asciiTheme="minorHAnsi" w:hAnsiTheme="minorHAnsi" w:cstheme="minorHAnsi"/>
          <w:sz w:val="26"/>
          <w:szCs w:val="26"/>
        </w:rPr>
        <w:t xml:space="preserve">literatūros (grožinės ir publicistikos) </w:t>
      </w:r>
      <w:r w:rsidRPr="00403170">
        <w:rPr>
          <w:rFonts w:asciiTheme="minorHAnsi" w:hAnsiTheme="minorHAnsi" w:cstheme="minorHAnsi"/>
          <w:sz w:val="26"/>
          <w:szCs w:val="26"/>
        </w:rPr>
        <w:t>kūrinių sąrašas.</w:t>
      </w:r>
    </w:p>
    <w:p w14:paraId="2B48DB9A" w14:textId="77777777" w:rsidR="005138FE" w:rsidRDefault="005138F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1D74B2" w14:textId="77777777" w:rsidR="005138FE" w:rsidRDefault="005138F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138FE">
      <w:footerReference w:type="default" r:id="rId10"/>
      <w:pgSz w:w="11906" w:h="16838"/>
      <w:pgMar w:top="1260" w:right="1196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ED23" w14:textId="77777777" w:rsidR="00AF3C6B" w:rsidRDefault="00AF3C6B">
      <w:pPr>
        <w:spacing w:line="240" w:lineRule="auto"/>
      </w:pPr>
      <w:r>
        <w:separator/>
      </w:r>
    </w:p>
  </w:endnote>
  <w:endnote w:type="continuationSeparator" w:id="0">
    <w:p w14:paraId="0C5E2379" w14:textId="77777777" w:rsidR="00AF3C6B" w:rsidRDefault="00AF3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965647"/>
      <w:docPartObj>
        <w:docPartGallery w:val="AutoText"/>
      </w:docPartObj>
    </w:sdtPr>
    <w:sdtEndPr/>
    <w:sdtContent>
      <w:p w14:paraId="1AEC648A" w14:textId="77777777" w:rsidR="005138FE" w:rsidRDefault="00B9777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9CEEE" w14:textId="77777777" w:rsidR="005138FE" w:rsidRDefault="00513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B46F" w14:textId="77777777" w:rsidR="00AF3C6B" w:rsidRDefault="00AF3C6B">
      <w:r>
        <w:separator/>
      </w:r>
    </w:p>
  </w:footnote>
  <w:footnote w:type="continuationSeparator" w:id="0">
    <w:p w14:paraId="61F88F7F" w14:textId="77777777" w:rsidR="00AF3C6B" w:rsidRDefault="00AF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ACC"/>
    <w:multiLevelType w:val="multilevel"/>
    <w:tmpl w:val="03FA2AC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906DF"/>
    <w:multiLevelType w:val="multilevel"/>
    <w:tmpl w:val="053906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71"/>
    <w:multiLevelType w:val="multilevel"/>
    <w:tmpl w:val="60707771"/>
    <w:lvl w:ilvl="0">
      <w:start w:val="1"/>
      <w:numFmt w:val="upperRoman"/>
      <w:lvlText w:val="%1."/>
      <w:lvlJc w:val="right"/>
      <w:pPr>
        <w:ind w:left="180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BA630E"/>
    <w:multiLevelType w:val="multilevel"/>
    <w:tmpl w:val="74BA630E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EF2B35"/>
    <w:multiLevelType w:val="multilevel"/>
    <w:tmpl w:val="7CEF2B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35416"/>
    <w:multiLevelType w:val="multilevel"/>
    <w:tmpl w:val="7F13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58813">
    <w:abstractNumId w:val="2"/>
  </w:num>
  <w:num w:numId="2" w16cid:durableId="1896234534">
    <w:abstractNumId w:val="1"/>
  </w:num>
  <w:num w:numId="3" w16cid:durableId="195628463">
    <w:abstractNumId w:val="4"/>
  </w:num>
  <w:num w:numId="4" w16cid:durableId="762531120">
    <w:abstractNumId w:val="3"/>
  </w:num>
  <w:num w:numId="5" w16cid:durableId="1171287803">
    <w:abstractNumId w:val="0"/>
  </w:num>
  <w:num w:numId="6" w16cid:durableId="2004429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5A"/>
    <w:rsid w:val="0003537E"/>
    <w:rsid w:val="00064BD9"/>
    <w:rsid w:val="0006795A"/>
    <w:rsid w:val="00193B1D"/>
    <w:rsid w:val="001E2671"/>
    <w:rsid w:val="003220CB"/>
    <w:rsid w:val="003749E7"/>
    <w:rsid w:val="00403170"/>
    <w:rsid w:val="00493572"/>
    <w:rsid w:val="005138FE"/>
    <w:rsid w:val="00517C7D"/>
    <w:rsid w:val="00550DF5"/>
    <w:rsid w:val="005576B5"/>
    <w:rsid w:val="006157D8"/>
    <w:rsid w:val="006558E0"/>
    <w:rsid w:val="006D3F68"/>
    <w:rsid w:val="00710D39"/>
    <w:rsid w:val="00722FE6"/>
    <w:rsid w:val="007D77EF"/>
    <w:rsid w:val="00814986"/>
    <w:rsid w:val="008504F0"/>
    <w:rsid w:val="00862348"/>
    <w:rsid w:val="008812C5"/>
    <w:rsid w:val="009620F1"/>
    <w:rsid w:val="00A70B78"/>
    <w:rsid w:val="00AA2E61"/>
    <w:rsid w:val="00AE2AC5"/>
    <w:rsid w:val="00AF31FC"/>
    <w:rsid w:val="00AF3C6B"/>
    <w:rsid w:val="00B9777D"/>
    <w:rsid w:val="00B97D89"/>
    <w:rsid w:val="00BC0B88"/>
    <w:rsid w:val="00BE3BA6"/>
    <w:rsid w:val="00C174E7"/>
    <w:rsid w:val="00C8367B"/>
    <w:rsid w:val="00C83EDE"/>
    <w:rsid w:val="00C86910"/>
    <w:rsid w:val="00DF3A03"/>
    <w:rsid w:val="00F22619"/>
    <w:rsid w:val="00F663D2"/>
    <w:rsid w:val="00F7653B"/>
    <w:rsid w:val="00FC0037"/>
    <w:rsid w:val="00FD0216"/>
    <w:rsid w:val="3590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B1C8"/>
  <w15:docId w15:val="{7F3A3D97-0FCB-443A-B9D8-DCAA3ACE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Times New Roman" w:hAnsi="Calibri" w:cs="Calibri"/>
      <w:sz w:val="22"/>
      <w:szCs w:val="22"/>
      <w:lang w:val="lt-LT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c.liuki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rida.vilkiene@lrv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torinekomisi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Ingrida Vilkienė</cp:lastModifiedBy>
  <cp:revision>2</cp:revision>
  <dcterms:created xsi:type="dcterms:W3CDTF">2024-04-17T13:42:00Z</dcterms:created>
  <dcterms:modified xsi:type="dcterms:W3CDTF">2024-04-17T13:42:00Z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56D6A7BDE3CC47968A8338CC6DAF9877_13</vt:lpwstr>
  </property>
</Properties>
</file>